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EE" w:rsidRDefault="004A741E" w:rsidP="00EE562D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</w:t>
      </w:r>
      <w:r w:rsidR="0090795D">
        <w:rPr>
          <w:rFonts w:ascii="標楷體" w:eastAsia="標楷體" w:hAnsi="標楷體" w:hint="eastAsia"/>
          <w:b/>
          <w:sz w:val="28"/>
          <w:szCs w:val="28"/>
        </w:rPr>
        <w:t>公尺空氣</w:t>
      </w:r>
      <w:r w:rsidR="00532E03">
        <w:rPr>
          <w:rFonts w:ascii="標楷體" w:eastAsia="標楷體" w:hAnsi="標楷體" w:hint="eastAsia"/>
          <w:b/>
          <w:sz w:val="28"/>
          <w:szCs w:val="28"/>
        </w:rPr>
        <w:t>步</w:t>
      </w:r>
      <w:r w:rsidR="0090795D">
        <w:rPr>
          <w:rFonts w:ascii="標楷體" w:eastAsia="標楷體" w:hAnsi="標楷體" w:hint="eastAsia"/>
          <w:b/>
          <w:sz w:val="28"/>
          <w:szCs w:val="28"/>
        </w:rPr>
        <w:t>槍</w:t>
      </w:r>
      <w:r w:rsidR="00A120EE" w:rsidRPr="00BE3B18">
        <w:rPr>
          <w:rFonts w:ascii="標楷體" w:eastAsia="標楷體" w:hAnsi="標楷體" w:hint="eastAsia"/>
          <w:b/>
          <w:sz w:val="28"/>
          <w:szCs w:val="28"/>
        </w:rPr>
        <w:t>團</w:t>
      </w:r>
      <w:r w:rsidR="003A0035" w:rsidRPr="00BE3B18">
        <w:rPr>
          <w:rFonts w:ascii="標楷體" w:eastAsia="標楷體" w:hAnsi="標楷體" w:hint="eastAsia"/>
          <w:b/>
          <w:sz w:val="28"/>
          <w:szCs w:val="28"/>
        </w:rPr>
        <w:t>體</w:t>
      </w:r>
    </w:p>
    <w:p w:rsidR="00EE562D" w:rsidRPr="008E5CEC" w:rsidRDefault="00EE562D" w:rsidP="00EE562D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E5CEC">
        <w:rPr>
          <w:rFonts w:ascii="標楷體" w:eastAsia="標楷體" w:hAnsi="標楷體" w:hint="eastAsia"/>
          <w:b/>
          <w:sz w:val="28"/>
          <w:szCs w:val="28"/>
        </w:rPr>
        <w:t>男子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Pr="008E5CEC">
        <w:rPr>
          <w:rFonts w:ascii="標楷體" w:eastAsia="標楷體" w:hAnsi="標楷體" w:hint="eastAsia"/>
          <w:b/>
          <w:sz w:val="28"/>
          <w:szCs w:val="28"/>
        </w:rPr>
        <w:t>女子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Pr="008E5CEC">
        <w:rPr>
          <w:rFonts w:ascii="標楷體" w:eastAsia="標楷體" w:hAnsi="標楷體" w:hint="eastAsia"/>
          <w:b/>
          <w:sz w:val="28"/>
          <w:szCs w:val="28"/>
        </w:rPr>
        <w:t>男子青少年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Pr="008E5CEC">
        <w:rPr>
          <w:rFonts w:ascii="標楷體" w:eastAsia="標楷體" w:hAnsi="標楷體" w:hint="eastAsia"/>
          <w:b/>
          <w:sz w:val="28"/>
          <w:szCs w:val="28"/>
        </w:rPr>
        <w:t>女子青少年</w:t>
      </w:r>
    </w:p>
    <w:p w:rsidR="00EE562D" w:rsidRPr="008E5CEC" w:rsidRDefault="00EE562D" w:rsidP="00EE562D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E5CEC">
        <w:rPr>
          <w:rFonts w:ascii="標楷體" w:eastAsia="標楷體" w:hAnsi="標楷體" w:hint="eastAsia"/>
          <w:b/>
          <w:sz w:val="28"/>
          <w:szCs w:val="28"/>
        </w:rPr>
        <w:t>比賽形式</w:t>
      </w:r>
    </w:p>
    <w:p w:rsidR="00EE562D" w:rsidRDefault="00EE562D" w:rsidP="00EE562D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E5CEC">
        <w:rPr>
          <w:rFonts w:ascii="標楷體" w:eastAsia="標楷體" w:hAnsi="標楷體" w:hint="eastAsia"/>
          <w:b/>
          <w:sz w:val="28"/>
          <w:szCs w:val="28"/>
        </w:rPr>
        <w:t>自 2022 年 1 月 1 日起生效</w:t>
      </w:r>
    </w:p>
    <w:p w:rsidR="00EE562D" w:rsidRDefault="00EE562D" w:rsidP="00EE562D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9"/>
        <w:gridCol w:w="6697"/>
      </w:tblGrid>
      <w:tr w:rsidR="003A0035" w:rsidTr="008709C8">
        <w:trPr>
          <w:trHeight w:val="558"/>
        </w:trPr>
        <w:tc>
          <w:tcPr>
            <w:tcW w:w="10456" w:type="dxa"/>
            <w:gridSpan w:val="2"/>
          </w:tcPr>
          <w:p w:rsidR="003A0035" w:rsidRPr="008709C8" w:rsidRDefault="003A0035" w:rsidP="008709C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b/>
                <w:sz w:val="28"/>
                <w:szCs w:val="28"/>
              </w:rPr>
              <w:t>一般技術規則</w:t>
            </w:r>
          </w:p>
        </w:tc>
      </w:tr>
      <w:tr w:rsidR="003F009C" w:rsidTr="009E5E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3759" w:type="dxa"/>
            <w:vAlign w:val="center"/>
          </w:tcPr>
          <w:p w:rsidR="003F009C" w:rsidRPr="008709C8" w:rsidRDefault="003A0035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71370" w:rsidRPr="008709C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6697" w:type="dxa"/>
            <w:vAlign w:val="center"/>
          </w:tcPr>
          <w:p w:rsidR="003F009C" w:rsidRPr="008709C8" w:rsidRDefault="00532E03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步</w:t>
            </w:r>
            <w:r w:rsidR="0090795D" w:rsidRPr="008709C8">
              <w:rPr>
                <w:rFonts w:ascii="標楷體" w:eastAsia="標楷體" w:hAnsi="標楷體" w:hint="eastAsia"/>
                <w:sz w:val="28"/>
                <w:szCs w:val="28"/>
              </w:rPr>
              <w:t>槍</w:t>
            </w:r>
          </w:p>
        </w:tc>
      </w:tr>
      <w:tr w:rsidR="003F009C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759" w:type="dxa"/>
          </w:tcPr>
          <w:p w:rsidR="003F009C" w:rsidRPr="008709C8" w:rsidRDefault="003A0035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2.項目類型：</w:t>
            </w:r>
          </w:p>
        </w:tc>
        <w:tc>
          <w:tcPr>
            <w:tcW w:w="6697" w:type="dxa"/>
          </w:tcPr>
          <w:p w:rsidR="003F009C" w:rsidRPr="008709C8" w:rsidRDefault="003A0035" w:rsidP="00532E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</w:p>
        </w:tc>
      </w:tr>
      <w:tr w:rsidR="003F009C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4"/>
        </w:trPr>
        <w:tc>
          <w:tcPr>
            <w:tcW w:w="3759" w:type="dxa"/>
          </w:tcPr>
          <w:p w:rsidR="003F009C" w:rsidRPr="008709C8" w:rsidRDefault="003A0035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3.項目名稱</w:t>
            </w:r>
          </w:p>
        </w:tc>
        <w:tc>
          <w:tcPr>
            <w:tcW w:w="6697" w:type="dxa"/>
            <w:vAlign w:val="center"/>
          </w:tcPr>
          <w:p w:rsidR="003F009C" w:rsidRPr="008709C8" w:rsidRDefault="0090795D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男子空氣</w:t>
            </w:r>
            <w:r w:rsidR="00532E03">
              <w:rPr>
                <w:rFonts w:ascii="標楷體" w:eastAsia="標楷體" w:hAnsi="標楷體" w:hint="eastAsia"/>
                <w:sz w:val="28"/>
                <w:szCs w:val="28"/>
              </w:rPr>
              <w:t>步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槍</w:t>
            </w:r>
            <w:r w:rsidR="003A0035" w:rsidRPr="008709C8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</w:p>
          <w:p w:rsidR="0090795D" w:rsidRPr="008709C8" w:rsidRDefault="0090795D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女子空氣</w:t>
            </w:r>
            <w:r w:rsidR="00532E03">
              <w:rPr>
                <w:rFonts w:ascii="標楷體" w:eastAsia="標楷體" w:hAnsi="標楷體" w:hint="eastAsia"/>
                <w:sz w:val="28"/>
                <w:szCs w:val="28"/>
              </w:rPr>
              <w:t>步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槍團體</w:t>
            </w:r>
          </w:p>
          <w:p w:rsidR="0090795D" w:rsidRPr="008709C8" w:rsidRDefault="0090795D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男子青少年空氣</w:t>
            </w:r>
            <w:r w:rsidR="00532E03">
              <w:rPr>
                <w:rFonts w:ascii="標楷體" w:eastAsia="標楷體" w:hAnsi="標楷體" w:hint="eastAsia"/>
                <w:sz w:val="28"/>
                <w:szCs w:val="28"/>
              </w:rPr>
              <w:t>步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槍團體</w:t>
            </w:r>
          </w:p>
          <w:p w:rsidR="0090795D" w:rsidRPr="008709C8" w:rsidRDefault="0090795D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女子青少年空氣</w:t>
            </w:r>
            <w:r w:rsidR="00532E03">
              <w:rPr>
                <w:rFonts w:ascii="標楷體" w:eastAsia="標楷體" w:hAnsi="標楷體" w:hint="eastAsia"/>
                <w:sz w:val="28"/>
                <w:szCs w:val="28"/>
              </w:rPr>
              <w:t>步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槍團體</w:t>
            </w:r>
          </w:p>
        </w:tc>
      </w:tr>
      <w:tr w:rsidR="003F009C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759" w:type="dxa"/>
          </w:tcPr>
          <w:p w:rsidR="003F009C" w:rsidRPr="008709C8" w:rsidRDefault="003A0035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4.每個團</w:t>
            </w:r>
            <w:r w:rsidR="007D67D2" w:rsidRPr="008709C8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參與者人數</w:t>
            </w:r>
          </w:p>
        </w:tc>
        <w:tc>
          <w:tcPr>
            <w:tcW w:w="6697" w:type="dxa"/>
            <w:vAlign w:val="center"/>
          </w:tcPr>
          <w:p w:rsidR="003F009C" w:rsidRPr="008709C8" w:rsidRDefault="00EE562D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(3)位</w:t>
            </w:r>
            <w:r w:rsidR="00E134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相</w:t>
            </w:r>
            <w:r w:rsidR="002D70F6" w:rsidRPr="00E13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同性別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</w:tr>
      <w:tr w:rsidR="003F009C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3759" w:type="dxa"/>
          </w:tcPr>
          <w:p w:rsidR="003F009C" w:rsidRPr="008709C8" w:rsidRDefault="007D67D2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5.階段數</w:t>
            </w:r>
          </w:p>
        </w:tc>
        <w:tc>
          <w:tcPr>
            <w:tcW w:w="6697" w:type="dxa"/>
          </w:tcPr>
          <w:p w:rsidR="007D67D2" w:rsidRPr="008709C8" w:rsidRDefault="007D67D2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2個階段：</w:t>
            </w:r>
          </w:p>
          <w:p w:rsidR="007D67D2" w:rsidRPr="008709C8" w:rsidRDefault="007D67D2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•資格賽（包括2部分組成）</w:t>
            </w:r>
          </w:p>
          <w:p w:rsidR="003F009C" w:rsidRPr="008709C8" w:rsidRDefault="007D67D2" w:rsidP="00F847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•決賽（包括銅牌</w:t>
            </w:r>
            <w:r w:rsidR="00281D52" w:rsidRPr="008709C8"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="00271370" w:rsidRPr="008709C8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F847B9" w:rsidRPr="008709C8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847B9" w:rsidRPr="008709C8">
              <w:rPr>
                <w:rFonts w:ascii="標楷體" w:eastAsia="標楷體" w:hAnsi="標楷體" w:hint="eastAsia"/>
                <w:sz w:val="28"/>
                <w:szCs w:val="28"/>
              </w:rPr>
              <w:t>銀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281D52" w:rsidRPr="008709C8"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="00271370" w:rsidRPr="008709C8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D67D2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3759" w:type="dxa"/>
            <w:vAlign w:val="center"/>
          </w:tcPr>
          <w:p w:rsidR="007D67D2" w:rsidRPr="008709C8" w:rsidRDefault="007D67D2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6.靶機</w:t>
            </w:r>
          </w:p>
        </w:tc>
        <w:tc>
          <w:tcPr>
            <w:tcW w:w="6697" w:type="dxa"/>
            <w:vAlign w:val="center"/>
          </w:tcPr>
          <w:p w:rsidR="007D67D2" w:rsidRPr="008709C8" w:rsidRDefault="007D67D2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電子計分靶用於資格賽和決賽。</w:t>
            </w:r>
          </w:p>
        </w:tc>
      </w:tr>
      <w:tr w:rsidR="00DE04AB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759" w:type="dxa"/>
          </w:tcPr>
          <w:p w:rsidR="00DE04AB" w:rsidRPr="008709C8" w:rsidRDefault="00DE04AB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7.資格賽同分</w:t>
            </w:r>
          </w:p>
        </w:tc>
        <w:tc>
          <w:tcPr>
            <w:tcW w:w="6697" w:type="dxa"/>
            <w:vAlign w:val="center"/>
          </w:tcPr>
          <w:p w:rsidR="00DE04AB" w:rsidRPr="008709C8" w:rsidRDefault="00DE04AB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資格賽同分進入下一階段之決定是依據ISSF規則</w:t>
            </w:r>
            <w:r w:rsidR="00D74E9E" w:rsidRPr="008709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23996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759" w:type="dxa"/>
          </w:tcPr>
          <w:p w:rsidR="00323996" w:rsidRPr="008709C8" w:rsidRDefault="00DE04AB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323996" w:rsidRPr="008709C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資格賽計分</w:t>
            </w:r>
          </w:p>
        </w:tc>
        <w:tc>
          <w:tcPr>
            <w:tcW w:w="6697" w:type="dxa"/>
            <w:vAlign w:val="center"/>
          </w:tcPr>
          <w:p w:rsidR="00323996" w:rsidRPr="008709C8" w:rsidRDefault="007E5757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小數點計分</w:t>
            </w:r>
            <w:r w:rsidR="00DE04AB" w:rsidRPr="008709C8">
              <w:rPr>
                <w:rFonts w:ascii="標楷體" w:eastAsia="標楷體" w:hAnsi="標楷體" w:hint="eastAsia"/>
                <w:sz w:val="28"/>
                <w:szCs w:val="28"/>
              </w:rPr>
              <w:t>（依據ISSF規則）</w:t>
            </w:r>
          </w:p>
        </w:tc>
      </w:tr>
      <w:tr w:rsidR="00D74E9E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759" w:type="dxa"/>
          </w:tcPr>
          <w:p w:rsidR="00D74E9E" w:rsidRPr="008709C8" w:rsidRDefault="00D74E9E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9.資格賽故障</w:t>
            </w:r>
          </w:p>
        </w:tc>
        <w:tc>
          <w:tcPr>
            <w:tcW w:w="6697" w:type="dxa"/>
          </w:tcPr>
          <w:p w:rsidR="00D74E9E" w:rsidRPr="008709C8" w:rsidRDefault="00D74E9E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故障進行處理將依據ISSF規則。</w:t>
            </w:r>
          </w:p>
        </w:tc>
      </w:tr>
      <w:tr w:rsidR="003D1859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2"/>
        </w:trPr>
        <w:tc>
          <w:tcPr>
            <w:tcW w:w="3759" w:type="dxa"/>
            <w:vAlign w:val="center"/>
          </w:tcPr>
          <w:p w:rsidR="003D1859" w:rsidRPr="008709C8" w:rsidRDefault="003D1859" w:rsidP="008709C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b/>
                <w:sz w:val="28"/>
                <w:szCs w:val="28"/>
              </w:rPr>
              <w:t>10.資格賽第一階段</w:t>
            </w:r>
          </w:p>
          <w:p w:rsidR="009E5EFB" w:rsidRPr="008709C8" w:rsidRDefault="009E5EFB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(團體計分)</w:t>
            </w:r>
          </w:p>
        </w:tc>
        <w:tc>
          <w:tcPr>
            <w:tcW w:w="6697" w:type="dxa"/>
            <w:vAlign w:val="center"/>
          </w:tcPr>
          <w:p w:rsidR="009E5EFB" w:rsidRPr="008709C8" w:rsidRDefault="009E5EFB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每個團體</w:t>
            </w:r>
            <w:r w:rsidR="002D70F6" w:rsidRPr="00E13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的成員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必須在30分鐘內射擊30發 。</w:t>
            </w:r>
          </w:p>
          <w:p w:rsidR="009E5EFB" w:rsidRPr="008709C8" w:rsidRDefault="009E5EFB" w:rsidP="008709C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運動員的靶位分配將根據公佈的</w:t>
            </w:r>
            <w:r w:rsidR="00C80186" w:rsidRPr="008709C8">
              <w:rPr>
                <w:rFonts w:ascii="標楷體" w:eastAsia="標楷體" w:hAnsi="標楷體" w:hint="eastAsia"/>
                <w:sz w:val="28"/>
                <w:szCs w:val="28"/>
              </w:rPr>
              <w:t>輪次表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。每個團</w:t>
            </w:r>
            <w:r w:rsidR="00C80186" w:rsidRPr="008709C8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E13459">
              <w:rPr>
                <w:rFonts w:ascii="標楷體" w:eastAsia="標楷體" w:hAnsi="標楷體" w:hint="eastAsia"/>
                <w:sz w:val="28"/>
                <w:szCs w:val="28"/>
              </w:rPr>
              <w:t>的成</w:t>
            </w:r>
            <w:r w:rsidR="00E13459" w:rsidRPr="00E13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員相鄰</w:t>
            </w:r>
            <w:r w:rsidR="00C80186" w:rsidRPr="00E13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射</w:t>
            </w:r>
            <w:r w:rsidR="00C80186" w:rsidRPr="008709C8">
              <w:rPr>
                <w:rFonts w:ascii="標楷體" w:eastAsia="標楷體" w:hAnsi="標楷體" w:hint="eastAsia"/>
                <w:sz w:val="28"/>
                <w:szCs w:val="28"/>
              </w:rPr>
              <w:t>擊。</w:t>
            </w:r>
          </w:p>
        </w:tc>
      </w:tr>
      <w:tr w:rsidR="00B71863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5"/>
        </w:trPr>
        <w:tc>
          <w:tcPr>
            <w:tcW w:w="3759" w:type="dxa"/>
          </w:tcPr>
          <w:p w:rsidR="00145C29" w:rsidRDefault="00145C29" w:rsidP="008709C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5C29" w:rsidRDefault="00145C29" w:rsidP="008709C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5C29" w:rsidRDefault="00145C29" w:rsidP="008709C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5C29" w:rsidRDefault="00145C29" w:rsidP="008709C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71863" w:rsidRPr="008709C8" w:rsidRDefault="00B71863" w:rsidP="008709C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8709C8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8709C8">
              <w:rPr>
                <w:rFonts w:ascii="標楷體" w:eastAsia="標楷體" w:hAnsi="標楷體" w:hint="eastAsia"/>
                <w:b/>
                <w:sz w:val="28"/>
                <w:szCs w:val="28"/>
              </w:rPr>
              <w:t>.資格賽第二階段</w:t>
            </w:r>
          </w:p>
          <w:p w:rsidR="00B71863" w:rsidRPr="008709C8" w:rsidRDefault="00B71863" w:rsidP="008709C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97" w:type="dxa"/>
          </w:tcPr>
          <w:p w:rsidR="00B71863" w:rsidRPr="008709C8" w:rsidRDefault="00B71863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資格賽第一階段中排名前8位的團體其射擊的位置取決於軟體隨機分配輪次表。</w:t>
            </w:r>
          </w:p>
          <w:p w:rsidR="00B71863" w:rsidRPr="008709C8" w:rsidRDefault="00B71863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運動員將被定位在該靶場的指定部分，並且每個團體之間都有一個備用射擊靶位。</w:t>
            </w:r>
          </w:p>
          <w:p w:rsidR="00B71863" w:rsidRPr="008709C8" w:rsidRDefault="00B71863" w:rsidP="00860F4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如果資格賽第</w:t>
            </w:r>
            <w:r w:rsidR="00F847B9" w:rsidRPr="008709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階段只有一個輪次，而賽程或靶場條件更方便，運動員可以留在第</w:t>
            </w:r>
            <w:r w:rsidR="00F847B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階段的原靶位。在這種情況下，靶場</w:t>
            </w:r>
            <w:r w:rsidR="002D70F6" w:rsidRPr="00E13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長將下達口令給運動員：</w:t>
            </w:r>
            <w:r w:rsidR="00145C29"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請就位”在第</w:t>
            </w:r>
            <w:r w:rsidR="00F847B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階段的預定開始時間前八(8)分鐘。</w:t>
            </w:r>
            <w:r w:rsidR="00232179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860F41" w:rsidRPr="008709C8">
              <w:rPr>
                <w:rFonts w:ascii="標楷體" w:eastAsia="標楷體" w:hAnsi="標楷體" w:hint="eastAsia"/>
                <w:sz w:val="28"/>
                <w:szCs w:val="28"/>
              </w:rPr>
              <w:t>允許準備和</w:t>
            </w:r>
            <w:r w:rsidR="00860F4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試射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開始前三(3)分鐘</w:t>
            </w:r>
            <w:r w:rsidR="00860F41" w:rsidRPr="008709C8">
              <w:rPr>
                <w:rFonts w:ascii="標楷體" w:eastAsia="標楷體" w:hAnsi="標楷體" w:hint="eastAsia"/>
                <w:sz w:val="28"/>
                <w:szCs w:val="28"/>
              </w:rPr>
              <w:t>就射擊位置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09C8" w:rsidTr="008709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4"/>
        </w:trPr>
        <w:tc>
          <w:tcPr>
            <w:tcW w:w="3759" w:type="dxa"/>
          </w:tcPr>
          <w:p w:rsidR="002373B6" w:rsidRDefault="002373B6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運動員進場:</w:t>
            </w:r>
          </w:p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97" w:type="dxa"/>
          </w:tcPr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在第二階段的預定開始時間之前十（10）分鐘，裁判長（CRO）將對運動員下達口令“</w:t>
            </w:r>
            <w:r w:rsidRPr="008709C8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8709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就位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”。</w:t>
            </w:r>
          </w:p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資格賽第一階段的團體成績不會移轉入第二階段。所有團體均從零開始。</w:t>
            </w:r>
          </w:p>
        </w:tc>
      </w:tr>
      <w:tr w:rsidR="008709C8" w:rsidTr="00E14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59" w:type="dxa"/>
          </w:tcPr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準備和試射時間:</w:t>
            </w:r>
          </w:p>
        </w:tc>
        <w:tc>
          <w:tcPr>
            <w:tcW w:w="6697" w:type="dxa"/>
          </w:tcPr>
          <w:p w:rsidR="008709C8" w:rsidRPr="008709C8" w:rsidRDefault="008709C8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五（5）分鐘的準備時間和無限制的試射</w:t>
            </w:r>
          </w:p>
        </w:tc>
      </w:tr>
      <w:tr w:rsidR="003F009C" w:rsidTr="003213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7"/>
        </w:trPr>
        <w:tc>
          <w:tcPr>
            <w:tcW w:w="3759" w:type="dxa"/>
          </w:tcPr>
          <w:p w:rsidR="00DE7A1C" w:rsidRPr="008709C8" w:rsidRDefault="00DE7A1C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4FF4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4FF4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4FF4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射擊的發數:</w:t>
            </w:r>
          </w:p>
        </w:tc>
        <w:tc>
          <w:tcPr>
            <w:tcW w:w="6697" w:type="dxa"/>
          </w:tcPr>
          <w:p w:rsidR="00B54149" w:rsidRPr="008709C8" w:rsidRDefault="00B54149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每位運動員將在20分鐘的時限內射擊20發正射（每</w:t>
            </w:r>
            <w:r w:rsidR="00321370" w:rsidRPr="008709C8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總共60發射擊）</w:t>
            </w:r>
          </w:p>
          <w:p w:rsidR="00B54149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每個運動員</w:t>
            </w:r>
            <w:r w:rsidR="00B54149" w:rsidRPr="008709C8">
              <w:rPr>
                <w:rFonts w:ascii="標楷體" w:eastAsia="標楷體" w:hAnsi="標楷體" w:hint="eastAsia"/>
                <w:sz w:val="28"/>
                <w:szCs w:val="28"/>
              </w:rPr>
              <w:t>於其團體成員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都獨立射擊</w:t>
            </w:r>
            <w:r w:rsidR="00B54149" w:rsidRPr="008709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34FF4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每個團體成員的分數將加在一起，並對團體成績進行排名。排名前四（4）名的團體將晉級決賽。</w:t>
            </w:r>
          </w:p>
          <w:p w:rsidR="00834FF4" w:rsidRPr="008709C8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排名第一和第二的團體將爭奪金</w:t>
            </w:r>
            <w:r w:rsidR="00145C29">
              <w:rPr>
                <w:rFonts w:ascii="標楷體" w:eastAsia="標楷體" w:hAnsi="標楷體" w:hint="eastAsia"/>
                <w:sz w:val="28"/>
                <w:szCs w:val="28"/>
              </w:rPr>
              <w:t>/銀</w:t>
            </w: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牌。</w:t>
            </w:r>
          </w:p>
          <w:p w:rsidR="000A1E21" w:rsidRPr="00321370" w:rsidRDefault="00834FF4" w:rsidP="008709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09C8">
              <w:rPr>
                <w:rFonts w:ascii="標楷體" w:eastAsia="標楷體" w:hAnsi="標楷體" w:hint="eastAsia"/>
                <w:sz w:val="28"/>
                <w:szCs w:val="28"/>
              </w:rPr>
              <w:t>排名第三和第四的團隊將爭奪銅牌。</w:t>
            </w:r>
          </w:p>
        </w:tc>
      </w:tr>
      <w:tr w:rsidR="005710C8" w:rsidTr="002373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41"/>
        </w:trPr>
        <w:tc>
          <w:tcPr>
            <w:tcW w:w="3759" w:type="dxa"/>
          </w:tcPr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370" w:rsidRDefault="0032137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10C8" w:rsidRPr="00F847B9" w:rsidRDefault="00926EFE" w:rsidP="002171A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47B9">
              <w:rPr>
                <w:rFonts w:ascii="標楷體" w:eastAsia="標楷體" w:hAnsi="標楷體" w:hint="eastAsia"/>
                <w:b/>
                <w:sz w:val="28"/>
                <w:szCs w:val="28"/>
              </w:rPr>
              <w:t>12.</w:t>
            </w:r>
            <w:r w:rsidR="00834FF4" w:rsidRPr="00F847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決賽(獎牌爭奪賽)</w:t>
            </w:r>
          </w:p>
        </w:tc>
        <w:tc>
          <w:tcPr>
            <w:tcW w:w="6697" w:type="dxa"/>
          </w:tcPr>
          <w:p w:rsidR="003966C1" w:rsidRDefault="00281D52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決賽包括銅牌爭奪</w:t>
            </w:r>
            <w:r w:rsidR="003966C1" w:rsidRPr="003966C1">
              <w:rPr>
                <w:rFonts w:ascii="標楷體" w:eastAsia="標楷體" w:hAnsi="標楷體" w:hint="eastAsia"/>
                <w:sz w:val="28"/>
                <w:szCs w:val="28"/>
              </w:rPr>
              <w:t>賽，然後是金/銀牌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="003966C1" w:rsidRPr="003966C1">
              <w:rPr>
                <w:rFonts w:ascii="標楷體" w:eastAsia="標楷體" w:hAnsi="標楷體" w:hint="eastAsia"/>
                <w:sz w:val="28"/>
                <w:szCs w:val="28"/>
              </w:rPr>
              <w:t>賽。</w:t>
            </w:r>
            <w:r w:rsidR="00BE4A0F">
              <w:rPr>
                <w:rFonts w:ascii="標楷體" w:eastAsia="標楷體" w:hAnsi="標楷體" w:hint="eastAsia"/>
                <w:sz w:val="28"/>
                <w:szCs w:val="28"/>
              </w:rPr>
              <w:t>進行兩次比賽的程序將相同，並</w:t>
            </w:r>
            <w:r w:rsidR="00BE4A0F" w:rsidRPr="003966C1">
              <w:rPr>
                <w:rFonts w:ascii="標楷體" w:eastAsia="標楷體" w:hAnsi="標楷體" w:hint="eastAsia"/>
                <w:sz w:val="28"/>
                <w:szCs w:val="28"/>
              </w:rPr>
              <w:t>在每種情況下</w:t>
            </w:r>
            <w:r w:rsidR="00BE4A0F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 w:rsidR="003966C1" w:rsidRPr="003966C1">
              <w:rPr>
                <w:rFonts w:ascii="標楷體" w:eastAsia="標楷體" w:hAnsi="標楷體" w:hint="eastAsia"/>
                <w:sz w:val="28"/>
                <w:szCs w:val="28"/>
              </w:rPr>
              <w:t>均使用適當的措詞。</w:t>
            </w:r>
          </w:p>
          <w:p w:rsidR="00BE4A0F" w:rsidRDefault="00BE4A0F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符合決賽資格的所有十二（12）名運動員必須在預定的開始時間至少30分鐘前，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攜帶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所有必要的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裝備向決賽館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準備區報告。如果一個或兩名隊員未按時報到，將從第一輪比賽的分數中扣除兩分（2）的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處罰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。每個團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可以由一名教練陪同。</w:t>
            </w:r>
          </w:p>
          <w:p w:rsidR="00BE4A0F" w:rsidRDefault="00BE4A0F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如果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儀式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7F0F01" w:rsidRPr="00BE4A0F">
              <w:rPr>
                <w:rFonts w:ascii="標楷體" w:eastAsia="標楷體" w:hAnsi="標楷體" w:hint="eastAsia"/>
                <w:sz w:val="28"/>
                <w:szCs w:val="28"/>
              </w:rPr>
              <w:t>安排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在決賽之後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，則所有運動員都必須穿著適合頒獎</w:t>
            </w:r>
            <w:r w:rsidR="007F0F01" w:rsidRPr="00BE4A0F">
              <w:rPr>
                <w:rFonts w:ascii="標楷體" w:eastAsia="標楷體" w:hAnsi="標楷體" w:hint="eastAsia"/>
                <w:sz w:val="28"/>
                <w:szCs w:val="28"/>
              </w:rPr>
              <w:t>儀式的國家隊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制服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審判委員們</w:t>
            </w:r>
            <w:r w:rsidR="00683D4B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683D4B" w:rsidRPr="00BE4A0F">
              <w:rPr>
                <w:rFonts w:ascii="標楷體" w:eastAsia="標楷體" w:hAnsi="標楷體" w:hint="eastAsia"/>
                <w:sz w:val="28"/>
                <w:szCs w:val="28"/>
              </w:rPr>
              <w:t>每位運動員報</w:t>
            </w:r>
            <w:r w:rsidR="00683D4B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="00683D4B" w:rsidRPr="00BE4A0F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7F0F01">
              <w:rPr>
                <w:rFonts w:ascii="標楷體" w:eastAsia="標楷體" w:hAnsi="標楷體" w:hint="eastAsia"/>
                <w:sz w:val="28"/>
                <w:szCs w:val="28"/>
              </w:rPr>
              <w:t>必須在報到</w:t>
            </w:r>
            <w:r w:rsidR="00683D4B">
              <w:rPr>
                <w:rFonts w:ascii="標楷體" w:eastAsia="標楷體" w:hAnsi="標楷體" w:hint="eastAsia"/>
                <w:sz w:val="28"/>
                <w:szCs w:val="28"/>
              </w:rPr>
              <w:t>期內</w:t>
            </w:r>
            <w:r w:rsidR="007F0F01" w:rsidRPr="00BE4A0F">
              <w:rPr>
                <w:rFonts w:ascii="標楷體" w:eastAsia="標楷體" w:hAnsi="標楷體" w:hint="eastAsia"/>
                <w:sz w:val="28"/>
                <w:szCs w:val="28"/>
              </w:rPr>
              <w:t>儘快完成</w:t>
            </w:r>
            <w:r w:rsidR="00683D4B">
              <w:rPr>
                <w:rFonts w:ascii="標楷體" w:eastAsia="標楷體" w:hAnsi="標楷體" w:hint="eastAsia"/>
                <w:sz w:val="28"/>
                <w:szCs w:val="28"/>
              </w:rPr>
              <w:t>裝</w:t>
            </w:r>
            <w:r w:rsidRPr="00BE4A0F">
              <w:rPr>
                <w:rFonts w:ascii="標楷體" w:eastAsia="標楷體" w:hAnsi="標楷體" w:hint="eastAsia"/>
                <w:sz w:val="28"/>
                <w:szCs w:val="28"/>
              </w:rPr>
              <w:t>備檢查。</w:t>
            </w:r>
          </w:p>
          <w:p w:rsidR="00683D4B" w:rsidRDefault="00683D4B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D4B">
              <w:rPr>
                <w:rFonts w:ascii="標楷體" w:eastAsia="標楷體" w:hAnsi="標楷體" w:hint="eastAsia"/>
                <w:sz w:val="28"/>
                <w:szCs w:val="28"/>
              </w:rPr>
              <w:t>必須准許參加銅牌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683D4B">
              <w:rPr>
                <w:rFonts w:ascii="標楷體" w:eastAsia="標楷體" w:hAnsi="標楷體" w:hint="eastAsia"/>
                <w:sz w:val="28"/>
                <w:szCs w:val="28"/>
              </w:rPr>
              <w:t>賽的運動員或其教練在預定的開始時間至少15分鐘之前將其</w:t>
            </w:r>
            <w:r w:rsidR="00455955">
              <w:rPr>
                <w:rFonts w:ascii="標楷體" w:eastAsia="標楷體" w:hAnsi="標楷體" w:hint="eastAsia"/>
                <w:sz w:val="28"/>
                <w:szCs w:val="28"/>
              </w:rPr>
              <w:t>裝</w:t>
            </w:r>
            <w:r w:rsidRPr="00683D4B">
              <w:rPr>
                <w:rFonts w:ascii="標楷體" w:eastAsia="標楷體" w:hAnsi="標楷體" w:hint="eastAsia"/>
                <w:sz w:val="28"/>
                <w:szCs w:val="28"/>
              </w:rPr>
              <w:t>備放置在指定的射擊</w:t>
            </w:r>
            <w:r w:rsidR="00455955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  <w:r w:rsidRPr="00683D4B">
              <w:rPr>
                <w:rFonts w:ascii="標楷體" w:eastAsia="標楷體" w:hAnsi="標楷體" w:hint="eastAsia"/>
                <w:sz w:val="28"/>
                <w:szCs w:val="28"/>
              </w:rPr>
              <w:t>上。</w:t>
            </w:r>
            <w:r w:rsidR="00455955">
              <w:rPr>
                <w:rFonts w:ascii="標楷體" w:eastAsia="標楷體" w:hAnsi="標楷體" w:hint="eastAsia"/>
                <w:sz w:val="28"/>
                <w:szCs w:val="28"/>
              </w:rPr>
              <w:t>然後</w:t>
            </w:r>
            <w:r w:rsidRPr="00683D4B">
              <w:rPr>
                <w:rFonts w:ascii="標楷體" w:eastAsia="標楷體" w:hAnsi="標楷體" w:hint="eastAsia"/>
                <w:sz w:val="28"/>
                <w:szCs w:val="28"/>
              </w:rPr>
              <w:t>他們必須離開</w:t>
            </w:r>
            <w:r w:rsidR="00455955">
              <w:rPr>
                <w:rFonts w:ascii="標楷體" w:eastAsia="標楷體" w:hAnsi="標楷體" w:hint="eastAsia"/>
                <w:sz w:val="28"/>
                <w:szCs w:val="28"/>
              </w:rPr>
              <w:t>射擊區以等待被呼叫到射擊位置</w:t>
            </w:r>
            <w:r w:rsidR="002373B6" w:rsidRPr="00BE4A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A1E21" w:rsidRDefault="0026576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射擊區</w:t>
            </w:r>
            <w:r w:rsidR="00455955" w:rsidRPr="00455955">
              <w:rPr>
                <w:rFonts w:ascii="標楷體" w:eastAsia="標楷體" w:hAnsi="標楷體" w:hint="eastAsia"/>
                <w:sz w:val="28"/>
                <w:szCs w:val="28"/>
              </w:rPr>
              <w:t>上不得遺留任何行李或運輸箱。</w:t>
            </w:r>
            <w:r w:rsidR="00B94F3B" w:rsidRPr="00A745FD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  <w:r w:rsidR="00B94F3B"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="00B94F3B" w:rsidRPr="00A745FD">
              <w:rPr>
                <w:rFonts w:ascii="標楷體" w:eastAsia="標楷體" w:hAnsi="標楷體" w:hint="eastAsia"/>
                <w:sz w:val="28"/>
                <w:szCs w:val="28"/>
              </w:rPr>
              <w:t>比賽中不會使用任何號碼布。</w:t>
            </w:r>
          </w:p>
        </w:tc>
      </w:tr>
      <w:tr w:rsidR="002373B6" w:rsidTr="002373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3759" w:type="dxa"/>
          </w:tcPr>
          <w:p w:rsidR="00145C29" w:rsidRDefault="00145C29" w:rsidP="002373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373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賽的形式</w:t>
            </w: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97" w:type="dxa"/>
          </w:tcPr>
          <w:p w:rsidR="002373B6" w:rsidRDefault="002373B6" w:rsidP="002373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運動員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就射擊位置後，他們被允許有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）分鐘的準備和試射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A745F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每組次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將根據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裁判長的口令射擊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，所有運動員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單發射擊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在50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秒的時限內射擊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E3B18" w:rsidTr="002373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7"/>
        </w:trPr>
        <w:tc>
          <w:tcPr>
            <w:tcW w:w="3759" w:type="dxa"/>
          </w:tcPr>
          <w:p w:rsidR="00025DA1" w:rsidRDefault="00025DA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25DA1" w:rsidRPr="002373B6" w:rsidRDefault="00025DA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25DA1" w:rsidRDefault="00025DA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25DA1" w:rsidRDefault="00025DA1" w:rsidP="002171A5">
            <w:pPr>
              <w:spacing w:line="36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計分</w:t>
            </w:r>
          </w:p>
        </w:tc>
        <w:tc>
          <w:tcPr>
            <w:tcW w:w="6697" w:type="dxa"/>
          </w:tcPr>
          <w:p w:rsidR="00025DA1" w:rsidRDefault="00025DA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DA1">
              <w:rPr>
                <w:rFonts w:ascii="標楷體" w:eastAsia="標楷體" w:hAnsi="標楷體" w:hint="eastAsia"/>
                <w:sz w:val="28"/>
                <w:szCs w:val="28"/>
              </w:rPr>
              <w:t>小數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點計</w:t>
            </w:r>
            <w:r w:rsidRPr="00025DA1">
              <w:rPr>
                <w:rFonts w:ascii="標楷體" w:eastAsia="標楷體" w:hAnsi="標楷體" w:hint="eastAsia"/>
                <w:sz w:val="28"/>
                <w:szCs w:val="28"/>
              </w:rPr>
              <w:t>分將在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511638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025DA1">
              <w:rPr>
                <w:rFonts w:ascii="標楷體" w:eastAsia="標楷體" w:hAnsi="標楷體" w:hint="eastAsia"/>
                <w:sz w:val="28"/>
                <w:szCs w:val="28"/>
              </w:rPr>
              <w:t>中使用。</w:t>
            </w:r>
          </w:p>
          <w:p w:rsidR="00145C29" w:rsidRPr="00145C29" w:rsidRDefault="00145C29" w:rsidP="00145C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• 兩隊從零開始，單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發射擊</w:t>
            </w: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45C29" w:rsidRPr="00145C29" w:rsidRDefault="00145C29" w:rsidP="00145C29">
            <w:pPr>
              <w:spacing w:line="360" w:lineRule="exact"/>
              <w:ind w:left="384" w:hangingChars="137" w:hanging="384"/>
              <w:rPr>
                <w:rFonts w:ascii="標楷體" w:eastAsia="標楷體" w:hAnsi="標楷體"/>
                <w:sz w:val="28"/>
                <w:szCs w:val="28"/>
              </w:rPr>
            </w:pP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• 每次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的得分由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所有三名成員的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總合成績</w:t>
            </w: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決定。</w:t>
            </w:r>
          </w:p>
          <w:p w:rsidR="00145C29" w:rsidRDefault="00145C29" w:rsidP="00145C29">
            <w:pPr>
              <w:spacing w:line="360" w:lineRule="exact"/>
              <w:ind w:left="384" w:hangingChars="137" w:hanging="384"/>
              <w:rPr>
                <w:rFonts w:ascii="標楷體" w:eastAsia="標楷體" w:hAnsi="標楷體"/>
                <w:sz w:val="28"/>
                <w:szCs w:val="28"/>
              </w:rPr>
            </w:pP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• 每次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射擊總高</w:t>
            </w: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的得</w:t>
            </w: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。 如果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射擊成績</w:t>
            </w: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相同，兩隊各得 1</w:t>
            </w:r>
            <w:r w:rsidR="00BB4D99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。較低的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射擊成績</w:t>
            </w:r>
            <w:r w:rsidRPr="00145C29">
              <w:rPr>
                <w:rFonts w:ascii="標楷體" w:eastAsia="標楷體" w:hAnsi="標楷體" w:hint="eastAsia"/>
                <w:sz w:val="28"/>
                <w:szCs w:val="28"/>
              </w:rPr>
              <w:t>是零分。</w:t>
            </w:r>
          </w:p>
          <w:p w:rsidR="00025DA1" w:rsidRDefault="00025DA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第一個達到16</w:t>
            </w:r>
            <w:r w:rsidR="00BB4D99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或以上的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團體將</w:t>
            </w:r>
            <w:r w:rsidRPr="00D200D0">
              <w:rPr>
                <w:rFonts w:ascii="標楷體" w:eastAsia="標楷體" w:hAnsi="標楷體" w:hint="eastAsia"/>
                <w:sz w:val="28"/>
                <w:szCs w:val="28"/>
              </w:rPr>
              <w:t>贏得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獎牌爭奪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  <w:p w:rsidR="00482F7F" w:rsidRPr="00A745FD" w:rsidRDefault="00025DA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如果兩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個團體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均取得16</w:t>
            </w:r>
            <w:r w:rsidR="00BB4D99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同分，獎牌爭奪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賽繼續進行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每個團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名成員將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增加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一（1）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來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決定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同分與否</w:t>
            </w:r>
            <w:r w:rsidRPr="00280E8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11FFC" w:rsidRPr="00E11FFC">
              <w:rPr>
                <w:rFonts w:ascii="標楷體" w:eastAsia="標楷體" w:hAnsi="標楷體" w:hint="eastAsia"/>
                <w:sz w:val="28"/>
                <w:szCs w:val="28"/>
              </w:rPr>
              <w:t>將重複此過程，直到</w:t>
            </w:r>
            <w:r w:rsidR="00E11FFC">
              <w:rPr>
                <w:rFonts w:ascii="標楷體" w:eastAsia="標楷體" w:hAnsi="標楷體" w:hint="eastAsia"/>
                <w:sz w:val="28"/>
                <w:szCs w:val="28"/>
              </w:rPr>
              <w:t>打破同分</w:t>
            </w:r>
            <w:r w:rsidR="00E11FFC" w:rsidRPr="00E11F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1FFC" w:rsidTr="00E14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59" w:type="dxa"/>
          </w:tcPr>
          <w:p w:rsidR="00E11FFC" w:rsidRDefault="00E11FF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14.射擊位置的分配</w:t>
            </w:r>
          </w:p>
        </w:tc>
        <w:tc>
          <w:tcPr>
            <w:tcW w:w="6697" w:type="dxa"/>
          </w:tcPr>
          <w:p w:rsidR="00E11FFC" w:rsidRDefault="00E11FF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對於銅牌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爭奪賽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，在資格賽第2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階段之後排名第三（3</w:t>
            </w:r>
            <w:r w:rsidR="00AE41B9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rd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）的團體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將獲得在A1，A2和A3上位置。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排名第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四（4</w:t>
            </w:r>
            <w:r w:rsidR="00AE41B9" w:rsidRPr="00AE41B9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th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）的團體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將獲得在B1，B2和B3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位置。</w:t>
            </w:r>
          </w:p>
          <w:p w:rsidR="00E11FFC" w:rsidRPr="00E11FFC" w:rsidRDefault="00E11FF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對於金/銀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爭奪賽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，在資格賽第2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階段之後排名第一（1</w:t>
            </w:r>
            <w:r w:rsidR="00AE41B9" w:rsidRPr="00AE41B9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st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）的團體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將獲得在A1，A2和A3上位置。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排名第二（2</w:t>
            </w:r>
            <w:r w:rsidR="00AE41B9" w:rsidRPr="00AE41B9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nd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）的團體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將獲得在B1，B2和B3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E11FFC">
              <w:rPr>
                <w:rFonts w:ascii="標楷體" w:eastAsia="標楷體" w:hAnsi="標楷體" w:hint="eastAsia"/>
                <w:sz w:val="28"/>
                <w:szCs w:val="28"/>
              </w:rPr>
              <w:t>位置。</w:t>
            </w:r>
          </w:p>
        </w:tc>
      </w:tr>
      <w:tr w:rsidR="00085563" w:rsidTr="00E14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59" w:type="dxa"/>
          </w:tcPr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73B6" w:rsidRDefault="002373B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85563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15.裁判長(CRO)的口令</w:t>
            </w:r>
          </w:p>
        </w:tc>
        <w:tc>
          <w:tcPr>
            <w:tcW w:w="6697" w:type="dxa"/>
          </w:tcPr>
          <w:p w:rsidR="00085563" w:rsidRPr="00CA7CD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•在銅牌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布開始的時間之前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）分鐘</w:t>
            </w:r>
          </w:p>
          <w:p w:rsidR="00085563" w:rsidRPr="00CA7CD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 xml:space="preserve"> “</w:t>
            </w:r>
            <w:r w:rsidR="002373B6" w:rsidRPr="002373B6">
              <w:rPr>
                <w:rFonts w:ascii="標楷體" w:eastAsia="標楷體" w:hAnsi="標楷體" w:hint="eastAsia"/>
                <w:b/>
                <w:sz w:val="28"/>
                <w:szCs w:val="28"/>
              </w:rPr>
              <w:t>運動員進場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”。</w:t>
            </w:r>
          </w:p>
          <w:p w:rsidR="00085563" w:rsidRPr="00CA7CD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准許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一（1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）分鐘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讓運動員上場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就射擊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置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，然後宣布“</w:t>
            </w:r>
            <w:r w:rsidRPr="00CA7CDD">
              <w:rPr>
                <w:rFonts w:ascii="標楷體" w:eastAsia="標楷體" w:hAnsi="標楷體" w:hint="eastAsia"/>
                <w:b/>
                <w:sz w:val="28"/>
                <w:szCs w:val="28"/>
              </w:rPr>
              <w:t>三分鐘準備和試射時間，開始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”。</w:t>
            </w:r>
          </w:p>
          <w:p w:rsidR="00085563" w:rsidRPr="00CA7CD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•2分30秒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 xml:space="preserve">後，“ </w:t>
            </w:r>
            <w:r w:rsidRPr="00CA7CDD">
              <w:rPr>
                <w:rFonts w:ascii="標楷體" w:eastAsia="標楷體" w:hAnsi="標楷體" w:hint="eastAsia"/>
                <w:b/>
                <w:sz w:val="28"/>
                <w:szCs w:val="28"/>
              </w:rPr>
              <w:t>30秒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”</w:t>
            </w:r>
          </w:p>
          <w:p w:rsidR="00085563" w:rsidRPr="00CA7CD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•3分鐘後，“</w:t>
            </w:r>
            <w:r w:rsidRPr="00CA7CDD">
              <w:rPr>
                <w:rFonts w:ascii="標楷體" w:eastAsia="標楷體" w:hAnsi="標楷體" w:hint="eastAsia"/>
                <w:b/>
                <w:sz w:val="28"/>
                <w:szCs w:val="28"/>
              </w:rPr>
              <w:t>停止</w:t>
            </w:r>
            <w:r w:rsidRPr="00F36EA8">
              <w:rPr>
                <w:rFonts w:ascii="標楷體" w:eastAsia="標楷體" w:hAnsi="標楷體" w:hint="eastAsia"/>
                <w:b/>
                <w:sz w:val="28"/>
                <w:szCs w:val="28"/>
              </w:rPr>
              <w:t>射擊</w:t>
            </w:r>
            <w:r w:rsidRPr="00CA7CDD">
              <w:rPr>
                <w:rFonts w:ascii="標楷體" w:eastAsia="標楷體" w:hAnsi="標楷體" w:hint="eastAsia"/>
                <w:sz w:val="28"/>
                <w:szCs w:val="28"/>
              </w:rPr>
              <w:t>”。</w:t>
            </w:r>
          </w:p>
          <w:p w:rsidR="00085563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4CCD">
              <w:rPr>
                <w:rFonts w:ascii="標楷體" w:eastAsia="標楷體" w:hAnsi="標楷體" w:hint="eastAsia"/>
                <w:sz w:val="28"/>
                <w:szCs w:val="28"/>
              </w:rPr>
              <w:t>運動員介紹-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每一位</w:t>
            </w:r>
            <w:r w:rsidRPr="00D74CCD">
              <w:rPr>
                <w:rFonts w:ascii="標楷體" w:eastAsia="標楷體" w:hAnsi="標楷體" w:hint="eastAsia"/>
                <w:sz w:val="28"/>
                <w:szCs w:val="28"/>
              </w:rPr>
              <w:t>決賽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Pr="00D74C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5563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4CCD">
              <w:rPr>
                <w:rFonts w:ascii="標楷體" w:eastAsia="標楷體" w:hAnsi="標楷體" w:hint="eastAsia"/>
                <w:sz w:val="28"/>
                <w:szCs w:val="28"/>
              </w:rPr>
              <w:t>完成所有選手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介紹之</w:t>
            </w:r>
            <w:r w:rsidRPr="00D74CCD">
              <w:rPr>
                <w:rFonts w:ascii="標楷體" w:eastAsia="標楷體" w:hAnsi="標楷體" w:hint="eastAsia"/>
                <w:sz w:val="28"/>
                <w:szCs w:val="28"/>
              </w:rPr>
              <w:t>後：</w:t>
            </w:r>
          </w:p>
          <w:p w:rsidR="00085563" w:rsidRPr="00BF400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•</w:t>
            </w:r>
            <w:r w:rsidRPr="00482F7F">
              <w:rPr>
                <w:rFonts w:ascii="標楷體" w:eastAsia="標楷體" w:hAnsi="標楷體" w:hint="eastAsia"/>
                <w:sz w:val="28"/>
                <w:szCs w:val="28"/>
              </w:rPr>
              <w:t>“</w:t>
            </w:r>
            <w:r w:rsidR="00E06EE8" w:rsidRPr="00E06EE8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="00665AF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就位</w:t>
            </w:r>
            <w:r w:rsidRPr="00482F7F">
              <w:rPr>
                <w:rFonts w:ascii="標楷體" w:eastAsia="標楷體" w:hAnsi="標楷體" w:hint="eastAsia"/>
                <w:sz w:val="28"/>
                <w:szCs w:val="28"/>
              </w:rPr>
              <w:t>”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5563" w:rsidRPr="00BF400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一（1）分鐘後：</w:t>
            </w:r>
          </w:p>
          <w:p w:rsidR="00085563" w:rsidRPr="00BF400D" w:rsidRDefault="00085563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“</w:t>
            </w:r>
            <w:r w:rsidR="009F0F28">
              <w:rPr>
                <w:rFonts w:ascii="標楷體" w:eastAsia="標楷體" w:hAnsi="標楷體" w:hint="eastAsia"/>
                <w:b/>
                <w:sz w:val="28"/>
                <w:szCs w:val="28"/>
              </w:rPr>
              <w:t>正射第一發</w:t>
            </w:r>
            <w:r w:rsidRPr="006C07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9F0F28">
              <w:rPr>
                <w:rFonts w:ascii="標楷體" w:eastAsia="標楷體" w:hAnsi="標楷體" w:hint="eastAsia"/>
                <w:b/>
                <w:sz w:val="28"/>
                <w:szCs w:val="28"/>
              </w:rPr>
              <w:t>正射</w:t>
            </w:r>
            <w:r w:rsidRPr="006C07D4">
              <w:rPr>
                <w:rFonts w:ascii="標楷體" w:eastAsia="標楷體" w:hAnsi="標楷體" w:hint="eastAsia"/>
                <w:b/>
                <w:sz w:val="28"/>
                <w:szCs w:val="28"/>
              </w:rPr>
              <w:t>下一</w:t>
            </w:r>
            <w:r w:rsidR="009F0F28">
              <w:rPr>
                <w:rFonts w:ascii="標楷體" w:eastAsia="標楷體" w:hAnsi="標楷體" w:hint="eastAsia"/>
                <w:b/>
                <w:sz w:val="28"/>
                <w:szCs w:val="28"/>
              </w:rPr>
              <w:t>發</w:t>
            </w:r>
            <w:r w:rsidRPr="006C07D4">
              <w:rPr>
                <w:rFonts w:ascii="標楷體" w:eastAsia="標楷體" w:hAnsi="標楷體" w:hint="eastAsia"/>
                <w:b/>
                <w:sz w:val="28"/>
                <w:szCs w:val="28"/>
              </w:rPr>
              <w:t>，裝子彈-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5秒</w:t>
            </w:r>
            <w:r w:rsidRPr="006C07D4">
              <w:rPr>
                <w:rFonts w:ascii="標楷體" w:eastAsia="標楷體" w:hAnsi="標楷體" w:hint="eastAsia"/>
                <w:b/>
                <w:sz w:val="28"/>
                <w:szCs w:val="28"/>
              </w:rPr>
              <w:t>-開始”</w:t>
            </w:r>
          </w:p>
          <w:p w:rsidR="009F0F28" w:rsidRPr="00BF400D" w:rsidRDefault="009F0F28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在所有運動員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發號口令</w:t>
            </w:r>
            <w:r w:rsidRPr="006C07D4">
              <w:rPr>
                <w:rFonts w:ascii="標楷體" w:eastAsia="標楷體" w:hAnsi="標楷體" w:hint="eastAsia"/>
                <w:b/>
                <w:sz w:val="28"/>
                <w:szCs w:val="28"/>
              </w:rPr>
              <w:t>“停止射擊”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組次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將宣</w:t>
            </w:r>
            <w:r w:rsidRPr="00F36EA8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得分最高的團隊，</w:t>
            </w:r>
            <w:r w:rsidR="00D1461C">
              <w:rPr>
                <w:rFonts w:ascii="標楷體" w:eastAsia="標楷體" w:hAnsi="標楷體" w:hint="eastAsia"/>
                <w:sz w:val="28"/>
                <w:szCs w:val="28"/>
              </w:rPr>
              <w:t>以及獲得</w:t>
            </w:r>
            <w:r w:rsidR="00B26564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BF40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F0F28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射擊順序將重複進行，直到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獎牌爭奪賽分出勝負為止，當裁判長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宣布</w:t>
            </w:r>
            <w:r w:rsidRPr="00A07782">
              <w:rPr>
                <w:rFonts w:ascii="標楷體" w:eastAsia="標楷體" w:hAnsi="標楷體" w:hint="eastAsia"/>
                <w:b/>
                <w:sz w:val="28"/>
                <w:szCs w:val="28"/>
              </w:rPr>
              <w:t>“</w:t>
            </w:r>
            <w:r w:rsidR="00E06EE8">
              <w:rPr>
                <w:rFonts w:ascii="標楷體" w:eastAsia="標楷體" w:hAnsi="標楷體" w:hint="eastAsia"/>
                <w:b/>
                <w:sz w:val="28"/>
                <w:szCs w:val="28"/>
              </w:rPr>
              <w:t>成績確認</w:t>
            </w:r>
            <w:r w:rsidRPr="00A07782">
              <w:rPr>
                <w:rFonts w:ascii="標楷體" w:eastAsia="標楷體" w:hAnsi="標楷體" w:hint="eastAsia"/>
                <w:b/>
                <w:sz w:val="28"/>
                <w:szCs w:val="28"/>
              </w:rPr>
              <w:t>”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並宣布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獲得</w:t>
            </w:r>
            <w:r w:rsidR="002171A5">
              <w:rPr>
                <w:rFonts w:ascii="標楷體" w:eastAsia="標楷體" w:hAnsi="標楷體" w:hint="eastAsia"/>
                <w:sz w:val="28"/>
                <w:szCs w:val="28"/>
              </w:rPr>
              <w:t>銅牌的選手</w:t>
            </w:r>
          </w:p>
          <w:p w:rsidR="00D1461C" w:rsidRPr="00085563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後續的金牌/銀牌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賽將使用相同的格式和類似的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令。</w:t>
            </w:r>
          </w:p>
        </w:tc>
      </w:tr>
      <w:tr w:rsidR="00D1461C" w:rsidTr="00F176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5"/>
        </w:trPr>
        <w:tc>
          <w:tcPr>
            <w:tcW w:w="3759" w:type="dxa"/>
          </w:tcPr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461C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16.暫停</w:t>
            </w:r>
          </w:p>
        </w:tc>
        <w:tc>
          <w:tcPr>
            <w:tcW w:w="6697" w:type="dxa"/>
          </w:tcPr>
          <w:p w:rsidR="00D1461C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教練或運動員可以通過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舉手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來要求“暫停”在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該輪次宣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佈公告結束之後。</w:t>
            </w:r>
          </w:p>
          <w:p w:rsidR="00D849B8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每個團隊只能在獎牌爭</w:t>
            </w:r>
            <w:r w:rsidR="00D849B8">
              <w:rPr>
                <w:rFonts w:ascii="標楷體" w:eastAsia="標楷體" w:hAnsi="標楷體" w:hint="eastAsia"/>
                <w:sz w:val="28"/>
                <w:szCs w:val="28"/>
              </w:rPr>
              <w:t>奪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賽中要求一次“</w:t>
            </w:r>
            <w:r w:rsidR="00D849B8">
              <w:rPr>
                <w:rFonts w:ascii="標楷體" w:eastAsia="標楷體" w:hAnsi="標楷體" w:hint="eastAsia"/>
                <w:sz w:val="28"/>
                <w:szCs w:val="28"/>
              </w:rPr>
              <w:t>暫停</w:t>
            </w:r>
            <w:r w:rsidRPr="00D1461C">
              <w:rPr>
                <w:rFonts w:ascii="標楷體" w:eastAsia="標楷體" w:hAnsi="標楷體" w:hint="eastAsia"/>
                <w:sz w:val="28"/>
                <w:szCs w:val="28"/>
              </w:rPr>
              <w:t>”。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教練可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以接近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 xml:space="preserve">在射擊線上與他的運動員交談，最長時間為三十（30）秒。 </w:t>
            </w:r>
          </w:p>
          <w:p w:rsidR="00D1461C" w:rsidRDefault="00D1461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如果“暫停”是在一個團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的要求下，另一團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的教練也可以同時接近並與他的運動員交談。這不影響對方團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要求自己的“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暫停</w:t>
            </w:r>
            <w:r w:rsidRPr="006C07D4">
              <w:rPr>
                <w:rFonts w:ascii="標楷體" w:eastAsia="標楷體" w:hAnsi="標楷體" w:hint="eastAsia"/>
                <w:sz w:val="28"/>
                <w:szCs w:val="28"/>
              </w:rPr>
              <w:t>” 的機會。</w:t>
            </w:r>
          </w:p>
          <w:p w:rsidR="00D1461C" w:rsidRPr="00B26564" w:rsidRDefault="002D70F6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E13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計時將由執勤的</w:t>
            </w:r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審判委員</w:t>
            </w:r>
            <w:r w:rsidRPr="00E54D18">
              <w:rPr>
                <w:rFonts w:ascii="標楷體" w:eastAsia="標楷體" w:hAnsi="標楷體" w:hint="eastAsia"/>
                <w:sz w:val="28"/>
                <w:szCs w:val="28"/>
              </w:rPr>
              <w:t>控制</w:t>
            </w:r>
            <w:r w:rsidR="00D1461C" w:rsidRPr="00E54D1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15301" w:rsidTr="00F176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5"/>
        </w:trPr>
        <w:tc>
          <w:tcPr>
            <w:tcW w:w="3759" w:type="dxa"/>
          </w:tcPr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15301" w:rsidRDefault="0091530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獎牌爭奪比賽的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之間的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6697" w:type="dxa"/>
          </w:tcPr>
          <w:p w:rsidR="00915301" w:rsidRPr="006C07D4" w:rsidRDefault="0091530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從銅牌爭奪比賽結束至少五（5）分鐘後，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並且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這些運動員離開了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靶場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靶機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已由RTS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審判委員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和CRO檢查，宣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“</w:t>
            </w:r>
            <w:r w:rsidRPr="004D0EC5">
              <w:rPr>
                <w:rFonts w:ascii="標楷體" w:eastAsia="標楷體" w:hAnsi="標楷體" w:hint="eastAsia"/>
                <w:b/>
                <w:sz w:val="28"/>
                <w:szCs w:val="28"/>
              </w:rPr>
              <w:t>靶場確認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”，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金牌/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銀牌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獎牌爭奪比賽的運動員或他們的教練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被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允許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他們的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裝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放置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B26564">
              <w:rPr>
                <w:rFonts w:ascii="標楷體" w:eastAsia="標楷體" w:hAnsi="標楷體" w:hint="eastAsia"/>
                <w:sz w:val="28"/>
                <w:szCs w:val="28"/>
              </w:rPr>
              <w:t>靶位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上，然後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他們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必須離開等待被</w:t>
            </w:r>
            <w:r w:rsidR="00A07782">
              <w:rPr>
                <w:rFonts w:ascii="標楷體" w:eastAsia="標楷體" w:hAnsi="標楷體" w:hint="eastAsia"/>
                <w:sz w:val="28"/>
                <w:szCs w:val="28"/>
              </w:rPr>
              <w:t>叫到射擊位置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15301" w:rsidTr="00B265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3"/>
        </w:trPr>
        <w:tc>
          <w:tcPr>
            <w:tcW w:w="3759" w:type="dxa"/>
          </w:tcPr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15301" w:rsidRDefault="00915301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</w:t>
            </w:r>
            <w:r w:rsidRPr="00915301">
              <w:rPr>
                <w:rFonts w:ascii="標楷體" w:eastAsia="標楷體" w:hAnsi="標楷體" w:hint="eastAsia"/>
                <w:sz w:val="28"/>
                <w:szCs w:val="28"/>
              </w:rPr>
              <w:t>獎牌獲得者介紹</w:t>
            </w:r>
          </w:p>
        </w:tc>
        <w:tc>
          <w:tcPr>
            <w:tcW w:w="6697" w:type="dxa"/>
          </w:tcPr>
          <w:p w:rsidR="00915301" w:rsidRPr="00E27F56" w:rsidRDefault="007C7B7A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Pr="007D747C">
              <w:rPr>
                <w:rFonts w:ascii="標楷體" w:eastAsia="標楷體" w:hAnsi="標楷體" w:hint="eastAsia"/>
                <w:sz w:val="28"/>
                <w:szCs w:val="28"/>
              </w:rPr>
              <w:t>金牌和銀牌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比賽結束後</w:t>
            </w:r>
            <w:r w:rsidRPr="00E27F5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獲獎者將與</w:t>
            </w:r>
            <w:r w:rsidRPr="007D747C">
              <w:rPr>
                <w:rFonts w:ascii="標楷體" w:eastAsia="標楷體" w:hAnsi="標楷體" w:hint="eastAsia"/>
                <w:sz w:val="28"/>
                <w:szCs w:val="28"/>
              </w:rPr>
              <w:t>銅牌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獲獎者依</w:t>
            </w:r>
            <w:r w:rsidRPr="007D747C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排列</w:t>
            </w:r>
            <w:r w:rsidRPr="007D747C">
              <w:rPr>
                <w:rFonts w:ascii="標楷體" w:eastAsia="標楷體" w:hAnsi="標楷體" w:hint="eastAsia"/>
                <w:sz w:val="28"/>
                <w:szCs w:val="28"/>
              </w:rPr>
              <w:t>，如個人決賽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相同</w:t>
            </w:r>
            <w:r w:rsidRPr="007D747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15301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915301" w:rsidRPr="007D747C">
              <w:rPr>
                <w:rFonts w:ascii="標楷體" w:eastAsia="標楷體" w:hAnsi="標楷體" w:hint="eastAsia"/>
                <w:sz w:val="28"/>
                <w:szCs w:val="28"/>
              </w:rPr>
              <w:t>用於官方</w:t>
            </w:r>
            <w:r w:rsidR="00BB4D99">
              <w:rPr>
                <w:rFonts w:ascii="標楷體" w:eastAsia="標楷體" w:hAnsi="標楷體" w:hint="eastAsia"/>
                <w:sz w:val="28"/>
                <w:szCs w:val="28"/>
              </w:rPr>
              <w:t>拍</w:t>
            </w:r>
            <w:r w:rsidR="00915301" w:rsidRPr="007D747C">
              <w:rPr>
                <w:rFonts w:ascii="標楷體" w:eastAsia="標楷體" w:hAnsi="標楷體" w:hint="eastAsia"/>
                <w:sz w:val="28"/>
                <w:szCs w:val="28"/>
              </w:rPr>
              <w:t>照和</w:t>
            </w:r>
            <w:r w:rsidR="006C418F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 w:rsidR="00915301" w:rsidRPr="007D74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26564" w:rsidTr="00B265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759" w:type="dxa"/>
          </w:tcPr>
          <w:p w:rsidR="00B2656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19.</w:t>
            </w:r>
            <w:r w:rsidR="00BB4D99" w:rsidRPr="00BB4D99">
              <w:rPr>
                <w:rFonts w:ascii="標楷體" w:eastAsia="標楷體" w:hAnsi="標楷體" w:hint="eastAsia"/>
                <w:sz w:val="27"/>
                <w:szCs w:val="27"/>
              </w:rPr>
              <w:t>決賽製作,</w:t>
            </w:r>
            <w:r w:rsidRPr="00BB4D99">
              <w:rPr>
                <w:rFonts w:ascii="標楷體" w:eastAsia="標楷體" w:hAnsi="標楷體" w:hint="eastAsia"/>
                <w:sz w:val="27"/>
                <w:szCs w:val="27"/>
              </w:rPr>
              <w:t>音樂和觀眾支持</w:t>
            </w:r>
          </w:p>
        </w:tc>
        <w:tc>
          <w:tcPr>
            <w:tcW w:w="6697" w:type="dxa"/>
          </w:tcPr>
          <w:p w:rsidR="005B47D4" w:rsidRDefault="00B2656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t>在資格賽和獎牌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t>比賽中，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需要播放音樂</w:t>
            </w: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B47D4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技術代表必須批准音樂程序。</w:t>
            </w:r>
          </w:p>
          <w:p w:rsidR="005B47D4" w:rsidRPr="00B26564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熱情的觀眾支持受到鼓</w:t>
            </w: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t>勵，並且推薦正在獎牌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爭奪</w:t>
            </w:r>
            <w:r w:rsidRPr="00362931">
              <w:rPr>
                <w:rFonts w:ascii="標楷體" w:eastAsia="標楷體" w:hAnsi="標楷體" w:hint="eastAsia"/>
                <w:sz w:val="28"/>
                <w:szCs w:val="28"/>
              </w:rPr>
              <w:t>比賽中</w:t>
            </w:r>
          </w:p>
        </w:tc>
      </w:tr>
      <w:tr w:rsidR="00FE7760" w:rsidTr="002315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3759" w:type="dxa"/>
          </w:tcPr>
          <w:p w:rsidR="005B47D4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47D4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47D4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E7760" w:rsidRDefault="005B47D4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FE776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E7760" w:rsidRPr="001044E0">
              <w:rPr>
                <w:rFonts w:ascii="標楷體" w:eastAsia="標楷體" w:hAnsi="標楷體" w:hint="eastAsia"/>
                <w:sz w:val="28"/>
                <w:szCs w:val="28"/>
              </w:rPr>
              <w:t>獎牌爭奪比賽中之故障</w:t>
            </w:r>
          </w:p>
        </w:tc>
        <w:tc>
          <w:tcPr>
            <w:tcW w:w="6697" w:type="dxa"/>
          </w:tcPr>
          <w:p w:rsidR="00FE7760" w:rsidRPr="001044E0" w:rsidRDefault="00FE776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獎牌爭奪比賽中的故障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之管理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將根據ISSF規則</w:t>
            </w:r>
          </w:p>
          <w:p w:rsidR="00FE7760" w:rsidRDefault="00FE776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每個團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僅允許一（1）個故障在每個獎牌爭奪比賽中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E7760" w:rsidRPr="00FE7760" w:rsidRDefault="00FE776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運動員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被允許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在一（1）分鐘內修理或更換故障的槍支，以使獎牌爭奪比賽能夠繼續進行，沒有不必要的延遲。</w:t>
            </w:r>
          </w:p>
        </w:tc>
      </w:tr>
      <w:tr w:rsidR="00D200D0" w:rsidTr="002315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2"/>
        </w:trPr>
        <w:tc>
          <w:tcPr>
            <w:tcW w:w="3759" w:type="dxa"/>
          </w:tcPr>
          <w:p w:rsidR="0023150C" w:rsidRDefault="0023150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C" w:rsidRDefault="0023150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C" w:rsidRDefault="0023150C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200D0" w:rsidRPr="001044E0" w:rsidRDefault="001044E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315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.處罰：</w:t>
            </w:r>
          </w:p>
        </w:tc>
        <w:tc>
          <w:tcPr>
            <w:tcW w:w="6697" w:type="dxa"/>
          </w:tcPr>
          <w:p w:rsidR="001044E0" w:rsidRDefault="001044E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在資格賽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階段，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任何射擊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令“準備和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試射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時間開始”或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令“停止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”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之前都將不被計分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，並且有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扣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兩（2）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分的處罰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將適用於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正射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比賽。</w:t>
            </w:r>
          </w:p>
          <w:p w:rsidR="001044E0" w:rsidRPr="001044E0" w:rsidRDefault="001044E0" w:rsidP="002171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獎牌爭奪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="00667BD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，在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令</w:t>
            </w:r>
            <w:r w:rsidR="005B60DD" w:rsidRPr="001044E0">
              <w:rPr>
                <w:rFonts w:ascii="標楷體" w:eastAsia="標楷體" w:hAnsi="標楷體" w:hint="eastAsia"/>
                <w:sz w:val="28"/>
                <w:szCs w:val="28"/>
              </w:rPr>
              <w:t>“開始”之前或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="005B60DD" w:rsidRPr="001044E0">
              <w:rPr>
                <w:rFonts w:ascii="標楷體" w:eastAsia="標楷體" w:hAnsi="標楷體" w:hint="eastAsia"/>
                <w:sz w:val="28"/>
                <w:szCs w:val="28"/>
              </w:rPr>
              <w:t>令“停止”之後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的任何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將被計為零</w:t>
            </w:r>
            <w:r w:rsidR="005B60D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200D0" w:rsidRDefault="001044E0" w:rsidP="002171A5">
            <w:pPr>
              <w:spacing w:line="360" w:lineRule="exact"/>
            </w:pPr>
            <w:r w:rsidRPr="001044E0">
              <w:rPr>
                <w:rFonts w:ascii="標楷體" w:eastAsia="標楷體" w:hAnsi="標楷體" w:hint="eastAsia"/>
                <w:sz w:val="28"/>
                <w:szCs w:val="28"/>
              </w:rPr>
              <w:t>任何其他處罰將根據ISSF規則適用。</w:t>
            </w:r>
          </w:p>
        </w:tc>
      </w:tr>
      <w:tr w:rsidR="0023150C" w:rsidTr="002315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759" w:type="dxa"/>
          </w:tcPr>
          <w:p w:rsidR="0023150C" w:rsidRDefault="0023150C" w:rsidP="002315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150C" w:rsidRPr="00F47879" w:rsidRDefault="0023150C" w:rsidP="002315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8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4787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31C97">
              <w:rPr>
                <w:rFonts w:ascii="標楷體" w:eastAsia="標楷體" w:hAnsi="標楷體" w:hint="eastAsia"/>
                <w:sz w:val="28"/>
                <w:szCs w:val="28"/>
              </w:rPr>
              <w:t xml:space="preserve"> 異</w:t>
            </w:r>
            <w:r w:rsidR="00131C97" w:rsidRPr="00D51B2D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Pr="00F47879">
              <w:rPr>
                <w:rFonts w:ascii="標楷體" w:eastAsia="標楷體" w:hAnsi="標楷體" w:hint="eastAsia"/>
                <w:sz w:val="28"/>
                <w:szCs w:val="28"/>
              </w:rPr>
              <w:t>的情況：</w:t>
            </w:r>
          </w:p>
        </w:tc>
        <w:tc>
          <w:tcPr>
            <w:tcW w:w="6697" w:type="dxa"/>
          </w:tcPr>
          <w:p w:rsidR="0023150C" w:rsidRPr="005473C5" w:rsidRDefault="0023150C" w:rsidP="002315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879">
              <w:rPr>
                <w:rFonts w:ascii="標楷體" w:eastAsia="標楷體" w:hAnsi="標楷體" w:hint="eastAsia"/>
                <w:sz w:val="28"/>
                <w:szCs w:val="28"/>
              </w:rPr>
              <w:t>ISSF一般技術規則將適用於非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以上段落中所提</w:t>
            </w:r>
            <w:r w:rsidRPr="00F47879">
              <w:rPr>
                <w:rFonts w:ascii="標楷體" w:eastAsia="標楷體" w:hAnsi="標楷體" w:hint="eastAsia"/>
                <w:sz w:val="28"/>
                <w:szCs w:val="28"/>
              </w:rPr>
              <w:t>到。</w:t>
            </w:r>
          </w:p>
          <w:p w:rsidR="0023150C" w:rsidRPr="001044E0" w:rsidRDefault="00131C97" w:rsidP="002315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  <w:r w:rsidRPr="00D51B2D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23150C" w:rsidRPr="00F47879">
              <w:rPr>
                <w:rFonts w:ascii="標楷體" w:eastAsia="標楷體" w:hAnsi="標楷體" w:hint="eastAsia"/>
                <w:sz w:val="28"/>
                <w:szCs w:val="28"/>
              </w:rPr>
              <w:t>或有爭議的事宜將由</w:t>
            </w:r>
            <w:r w:rsidR="0023150C">
              <w:rPr>
                <w:rFonts w:ascii="標楷體" w:eastAsia="標楷體" w:hAnsi="標楷體" w:hint="eastAsia"/>
                <w:sz w:val="28"/>
                <w:szCs w:val="28"/>
              </w:rPr>
              <w:t>審判委員</w:t>
            </w:r>
            <w:r w:rsidR="0023150C" w:rsidRPr="00F47879">
              <w:rPr>
                <w:rFonts w:ascii="標楷體" w:eastAsia="標楷體" w:hAnsi="標楷體" w:hint="eastAsia"/>
                <w:sz w:val="28"/>
                <w:szCs w:val="28"/>
              </w:rPr>
              <w:t>決定根據每個</w:t>
            </w:r>
            <w:r w:rsidR="0023150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23150C" w:rsidRPr="00F47879">
              <w:rPr>
                <w:rFonts w:ascii="標楷體" w:eastAsia="標楷體" w:hAnsi="標楷體" w:hint="eastAsia"/>
                <w:sz w:val="28"/>
                <w:szCs w:val="28"/>
              </w:rPr>
              <w:t>的一般技術規則</w:t>
            </w:r>
            <w:r w:rsidR="0023150C">
              <w:rPr>
                <w:rFonts w:hint="eastAsia"/>
              </w:rPr>
              <w:t>。</w:t>
            </w:r>
          </w:p>
        </w:tc>
      </w:tr>
    </w:tbl>
    <w:p w:rsidR="0018194C" w:rsidRDefault="0018194C" w:rsidP="002171A5">
      <w:pPr>
        <w:spacing w:line="440" w:lineRule="exact"/>
      </w:pPr>
    </w:p>
    <w:sectPr w:rsidR="0018194C" w:rsidSect="00A12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EB" w:rsidRDefault="003769EB" w:rsidP="00E65F0D">
      <w:r>
        <w:separator/>
      </w:r>
    </w:p>
  </w:endnote>
  <w:endnote w:type="continuationSeparator" w:id="0">
    <w:p w:rsidR="003769EB" w:rsidRDefault="003769EB" w:rsidP="00E6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EB" w:rsidRDefault="003769EB" w:rsidP="00E65F0D">
      <w:r>
        <w:separator/>
      </w:r>
    </w:p>
  </w:footnote>
  <w:footnote w:type="continuationSeparator" w:id="0">
    <w:p w:rsidR="003769EB" w:rsidRDefault="003769EB" w:rsidP="00E6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EE"/>
    <w:rsid w:val="00025DA1"/>
    <w:rsid w:val="000810F2"/>
    <w:rsid w:val="00085563"/>
    <w:rsid w:val="000A081A"/>
    <w:rsid w:val="000A1E21"/>
    <w:rsid w:val="000C3A63"/>
    <w:rsid w:val="000D14F8"/>
    <w:rsid w:val="000E06FB"/>
    <w:rsid w:val="001044E0"/>
    <w:rsid w:val="00131C97"/>
    <w:rsid w:val="00145C29"/>
    <w:rsid w:val="0018194C"/>
    <w:rsid w:val="002171A5"/>
    <w:rsid w:val="0023150C"/>
    <w:rsid w:val="00232179"/>
    <w:rsid w:val="002373B6"/>
    <w:rsid w:val="0026576C"/>
    <w:rsid w:val="00271370"/>
    <w:rsid w:val="00280E85"/>
    <w:rsid w:val="00281D52"/>
    <w:rsid w:val="002D6873"/>
    <w:rsid w:val="002D70F6"/>
    <w:rsid w:val="00321370"/>
    <w:rsid w:val="00323996"/>
    <w:rsid w:val="00362931"/>
    <w:rsid w:val="003769EB"/>
    <w:rsid w:val="00381AA9"/>
    <w:rsid w:val="003966C1"/>
    <w:rsid w:val="003A0035"/>
    <w:rsid w:val="003B471C"/>
    <w:rsid w:val="003D1859"/>
    <w:rsid w:val="003D59C9"/>
    <w:rsid w:val="003F009C"/>
    <w:rsid w:val="00455955"/>
    <w:rsid w:val="00482F7F"/>
    <w:rsid w:val="004A741E"/>
    <w:rsid w:val="004D0EC5"/>
    <w:rsid w:val="00511638"/>
    <w:rsid w:val="00517525"/>
    <w:rsid w:val="00532E03"/>
    <w:rsid w:val="005473C5"/>
    <w:rsid w:val="005710C8"/>
    <w:rsid w:val="005B47D4"/>
    <w:rsid w:val="005B60DD"/>
    <w:rsid w:val="005E3449"/>
    <w:rsid w:val="00652B4D"/>
    <w:rsid w:val="00665AF4"/>
    <w:rsid w:val="00667BDD"/>
    <w:rsid w:val="00683D4B"/>
    <w:rsid w:val="006A0C77"/>
    <w:rsid w:val="006B0884"/>
    <w:rsid w:val="006C07D4"/>
    <w:rsid w:val="006C418F"/>
    <w:rsid w:val="00713768"/>
    <w:rsid w:val="007266DE"/>
    <w:rsid w:val="0074797D"/>
    <w:rsid w:val="007501AA"/>
    <w:rsid w:val="00786C1F"/>
    <w:rsid w:val="007C7B7A"/>
    <w:rsid w:val="007D67D2"/>
    <w:rsid w:val="007D747C"/>
    <w:rsid w:val="007E5757"/>
    <w:rsid w:val="007F0F01"/>
    <w:rsid w:val="0080122E"/>
    <w:rsid w:val="00834FF4"/>
    <w:rsid w:val="00852F4F"/>
    <w:rsid w:val="00854C12"/>
    <w:rsid w:val="00860F41"/>
    <w:rsid w:val="008709C8"/>
    <w:rsid w:val="00874C5D"/>
    <w:rsid w:val="008E3FDC"/>
    <w:rsid w:val="0090795D"/>
    <w:rsid w:val="00915301"/>
    <w:rsid w:val="00926EFE"/>
    <w:rsid w:val="009312EC"/>
    <w:rsid w:val="009E5EFB"/>
    <w:rsid w:val="009F0F28"/>
    <w:rsid w:val="00A07782"/>
    <w:rsid w:val="00A120EE"/>
    <w:rsid w:val="00A745FD"/>
    <w:rsid w:val="00AB76D6"/>
    <w:rsid w:val="00AE41B9"/>
    <w:rsid w:val="00B26564"/>
    <w:rsid w:val="00B3452A"/>
    <w:rsid w:val="00B54149"/>
    <w:rsid w:val="00B71863"/>
    <w:rsid w:val="00B94F3B"/>
    <w:rsid w:val="00BB4D99"/>
    <w:rsid w:val="00BB6F9B"/>
    <w:rsid w:val="00BE3B18"/>
    <w:rsid w:val="00BE4A0F"/>
    <w:rsid w:val="00BF400D"/>
    <w:rsid w:val="00C13B64"/>
    <w:rsid w:val="00C80186"/>
    <w:rsid w:val="00CA7CDD"/>
    <w:rsid w:val="00D1461C"/>
    <w:rsid w:val="00D200D0"/>
    <w:rsid w:val="00D5035B"/>
    <w:rsid w:val="00D74CCD"/>
    <w:rsid w:val="00D74E9E"/>
    <w:rsid w:val="00D849B8"/>
    <w:rsid w:val="00DE04AB"/>
    <w:rsid w:val="00DE7A1C"/>
    <w:rsid w:val="00E06EE8"/>
    <w:rsid w:val="00E10B02"/>
    <w:rsid w:val="00E11FFC"/>
    <w:rsid w:val="00E13459"/>
    <w:rsid w:val="00E14C16"/>
    <w:rsid w:val="00E27F56"/>
    <w:rsid w:val="00E54D18"/>
    <w:rsid w:val="00E65F0D"/>
    <w:rsid w:val="00EE562D"/>
    <w:rsid w:val="00EF1559"/>
    <w:rsid w:val="00F176F5"/>
    <w:rsid w:val="00F36EA8"/>
    <w:rsid w:val="00F47879"/>
    <w:rsid w:val="00F847B9"/>
    <w:rsid w:val="00FB3AD7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D9B808"/>
  <w15:docId w15:val="{C3E2A8BD-787C-4DB1-94F9-D63548CB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2F7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65F0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5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5F0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5F0D"/>
    <w:rPr>
      <w:sz w:val="20"/>
      <w:szCs w:val="20"/>
    </w:rPr>
  </w:style>
  <w:style w:type="paragraph" w:styleId="a8">
    <w:name w:val="List Paragraph"/>
    <w:basedOn w:val="a"/>
    <w:uiPriority w:val="34"/>
    <w:qFormat/>
    <w:rsid w:val="00DE04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30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9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885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544F-1312-4A6D-8DBC-D19B55E4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user</cp:lastModifiedBy>
  <cp:revision>13</cp:revision>
  <dcterms:created xsi:type="dcterms:W3CDTF">2022-01-13T07:51:00Z</dcterms:created>
  <dcterms:modified xsi:type="dcterms:W3CDTF">2023-02-16T07:44:00Z</dcterms:modified>
</cp:coreProperties>
</file>